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t xml:space="preserve">References</w:t>
      </w:r>
    </w:p>
    <w:p>
      <w:pPr>
        <w:tabs>
          <w:tab w:val="left" w:pos="720"/>
        </w:tabs>
        <w:spacing w:after="180" w:line="360"/>
        <w:ind w:left="720" w:hanging="720"/>
      </w:pPr>
      <w:r>
        <w:rPr>
          <w:i w:val="false"/>
          <w:iCs w:val="false"/>
        </w:rPr>
        <w:t xml:space="preserve">[1]	N. Paskin, </w:t>
      </w:r>
      <w:r>
        <w:rPr>
          <w:i w:val="false"/>
          <w:iCs w:val="false"/>
        </w:rPr>
        <w:t xml:space="preserve">"Toward unique identifiers," </w:t>
      </w:r>
      <w:r>
        <w:rPr>
          <w:i/>
          <w:iCs/>
        </w:rPr>
        <w:t xml:space="preserve">Proc. IEEE</w:t>
      </w:r>
      <w:r>
        <w:rPr>
          <w:i w:val="false"/>
          <w:iCs w:val="false"/>
        </w:rPr>
        <w:t xml:space="preserve">, vol. 87</w:t>
      </w:r>
      <w:r>
        <w:rPr>
          <w:i w:val="false"/>
          <w:iCs w:val="false"/>
        </w:rPr>
        <w:t xml:space="preserve">, no. 7</w:t>
      </w:r>
      <w:r>
        <w:rPr>
          <w:i w:val="false"/>
          <w:iCs w:val="false"/>
        </w:rPr>
        <w:t xml:space="preserve">, pp. 1208–1227</w:t>
      </w:r>
      <w:r>
        <w:rPr>
          <w:i w:val="false"/>
          <w:iCs w:val="false"/>
        </w:rPr>
        <w:t xml:space="preserve">, Jul.</w:t>
      </w:r>
      <w:r>
        <w:rPr>
          <w:i w:val="false"/>
          <w:iCs w:val="false"/>
        </w:rPr>
        <w:t xml:space="preserve"> 1999</w:t>
      </w:r>
      <w:r>
        <w:rPr>
          <w:i w:val="false"/>
          <w:iCs w:val="false"/>
        </w:rPr>
        <w:t xml:space="preserve">, doi: 10.1109/5.771073.</w:t>
      </w:r>
    </w:p>
    <w:p>
      <w:pPr>
        <w:tabs>
          <w:tab w:val="left" w:pos="720"/>
        </w:tabs>
        <w:spacing w:after="180" w:line="360"/>
        <w:ind w:left="720" w:hanging="720"/>
      </w:pPr>
      <w:r>
        <w:rPr>
          <w:i w:val="false"/>
          <w:iCs w:val="false"/>
        </w:rPr>
        <w:t xml:space="preserve">[2]	Y. LeCun, Y. Bengio, and G. Hinton, </w:t>
      </w:r>
      <w:r>
        <w:rPr>
          <w:i w:val="false"/>
          <w:iCs w:val="false"/>
        </w:rPr>
        <w:t xml:space="preserve">"Deep learning," </w:t>
      </w:r>
      <w:r>
        <w:rPr>
          <w:i/>
          <w:iCs/>
        </w:rPr>
        <w:t xml:space="preserve">Nature</w:t>
      </w:r>
      <w:r>
        <w:rPr>
          <w:i w:val="false"/>
          <w:iCs w:val="false"/>
        </w:rPr>
        <w:t xml:space="preserve">, vol. 521</w:t>
      </w:r>
      <w:r>
        <w:rPr>
          <w:i w:val="false"/>
          <w:iCs w:val="false"/>
        </w:rPr>
        <w:t xml:space="preserve">, no. 7553</w:t>
      </w:r>
      <w:r>
        <w:rPr>
          <w:i w:val="false"/>
          <w:iCs w:val="false"/>
        </w:rPr>
        <w:t xml:space="preserve">, pp. 436–444</w:t>
      </w:r>
      <w:r>
        <w:rPr>
          <w:i w:val="false"/>
          <w:iCs w:val="false"/>
        </w:rPr>
        <w:t xml:space="preserve">, May</w:t>
      </w:r>
      <w:r>
        <w:rPr>
          <w:i w:val="false"/>
          <w:iCs w:val="false"/>
        </w:rPr>
        <w:t xml:space="preserve"> 2015</w:t>
      </w:r>
      <w:r>
        <w:rPr>
          <w:i w:val="false"/>
          <w:iCs w:val="false"/>
        </w:rPr>
        <w:t xml:space="preserve">, doi: 10.1038/nature14539.</w:t>
      </w:r>
    </w:p>
    <w:p>
      <w:pPr>
        <w:tabs>
          <w:tab w:val="left" w:pos="720"/>
        </w:tabs>
        <w:spacing w:after="180" w:line="360"/>
        <w:ind w:left="720" w:hanging="720"/>
      </w:pPr>
      <w:r>
        <w:rPr>
          <w:i w:val="false"/>
          <w:iCs w:val="false"/>
        </w:rPr>
        <w:t xml:space="preserve">[3]	A. Krizhevsky, I. Sutskever, and G. E. Hinton, </w:t>
      </w:r>
      <w:r>
        <w:rPr>
          <w:i w:val="false"/>
          <w:iCs w:val="false"/>
        </w:rPr>
        <w:t xml:space="preserve">"ImageNet classification with deep convolutional neural networks," </w:t>
      </w:r>
      <w:r>
        <w:rPr>
          <w:i/>
          <w:iCs/>
        </w:rPr>
        <w:t xml:space="preserve">Commun. ACM</w:t>
      </w:r>
      <w:r>
        <w:rPr>
          <w:i w:val="false"/>
          <w:iCs w:val="false"/>
        </w:rPr>
        <w:t xml:space="preserve">, vol. 60</w:t>
      </w:r>
      <w:r>
        <w:rPr>
          <w:i w:val="false"/>
          <w:iCs w:val="false"/>
        </w:rPr>
        <w:t xml:space="preserve">, no. 6</w:t>
      </w:r>
      <w:r>
        <w:rPr>
          <w:i w:val="false"/>
          <w:iCs w:val="false"/>
        </w:rPr>
        <w:t xml:space="preserve">, pp. 84–90</w:t>
      </w:r>
      <w:r>
        <w:rPr>
          <w:i w:val="false"/>
          <w:iCs w:val="false"/>
        </w:rPr>
        <w:t xml:space="preserve">, May</w:t>
      </w:r>
      <w:r>
        <w:rPr>
          <w:i w:val="false"/>
          <w:iCs w:val="false"/>
        </w:rPr>
        <w:t xml:space="preserve"> 2017</w:t>
      </w:r>
      <w:r>
        <w:rPr>
          <w:i w:val="false"/>
          <w:iCs w:val="false"/>
        </w:rPr>
        <w:t xml:space="preserve">, doi: 10.1145/3065386.</w:t>
      </w:r>
    </w:p>
    <w:p>
      <w:pPr>
        <w:tabs>
          <w:tab w:val="left" w:pos="720"/>
        </w:tabs>
        <w:spacing w:after="180" w:line="360"/>
        <w:ind w:left="720" w:hanging="720"/>
      </w:pPr>
      <w:r>
        <w:rPr>
          <w:i w:val="false"/>
          <w:iCs w:val="false"/>
        </w:rPr>
        <w:t xml:space="preserve">[4]	K. He, X. Zhang, S. Ren, and J. Sun, </w:t>
      </w:r>
      <w:r>
        <w:rPr>
          <w:i w:val="false"/>
          <w:iCs w:val="false"/>
        </w:rPr>
        <w:t xml:space="preserve">"Deep Residual Learning for Image Recognition," in </w:t>
      </w:r>
      <w:r>
        <w:rPr>
          <w:i/>
          <w:iCs/>
        </w:rPr>
        <w:t xml:space="preserve">Proc. IEEE Conf. Comput. Vis. Pattern Recognit. (CVPR)</w:t>
      </w:r>
      <w:r>
        <w:rPr>
          <w:i w:val="false"/>
          <w:iCs w:val="false"/>
        </w:rPr>
        <w:t xml:space="preserve">, Las Vegas, NV, USA</w:t>
      </w:r>
      <w:r>
        <w:rPr>
          <w:i w:val="false"/>
          <w:iCs w:val="false"/>
        </w:rPr>
        <w:t xml:space="preserve">, Jun. 2016</w:t>
      </w:r>
      <w:r>
        <w:rPr>
          <w:i w:val="false"/>
          <w:iCs w:val="false"/>
        </w:rPr>
        <w:t xml:space="preserve">, pp. 770–778</w:t>
      </w:r>
      <w:r>
        <w:rPr>
          <w:i w:val="false"/>
          <w:iCs w:val="false"/>
        </w:rPr>
        <w:t xml:space="preserve">, doi: 10.1109/CVPR.2016.90.</w:t>
      </w:r>
    </w:p>
    <w:p>
      <w:pPr>
        <w:tabs>
          <w:tab w:val="left" w:pos="720"/>
        </w:tabs>
        <w:spacing w:after="180" w:line="360"/>
        <w:ind w:left="720" w:hanging="720"/>
      </w:pPr>
      <w:r>
        <w:rPr>
          <w:i w:val="false"/>
          <w:iCs w:val="false"/>
        </w:rPr>
        <w:t xml:space="preserve">[5]	C. Szegedy, et al., </w:t>
      </w:r>
      <w:r>
        <w:rPr>
          <w:i w:val="false"/>
          <w:iCs w:val="false"/>
        </w:rPr>
        <w:t xml:space="preserve">"Going deeper with convolutions," in </w:t>
      </w:r>
      <w:r>
        <w:rPr>
          <w:i/>
          <w:iCs/>
        </w:rPr>
        <w:t xml:space="preserve">Proc. IEEE Conf. Comput. Vis. Pattern Recognit. (CVPR)</w:t>
      </w:r>
      <w:r>
        <w:rPr>
          <w:i w:val="false"/>
          <w:iCs w:val="false"/>
        </w:rPr>
        <w:t xml:space="preserve">, Boston, MA, USA</w:t>
      </w:r>
      <w:r>
        <w:rPr>
          <w:i w:val="false"/>
          <w:iCs w:val="false"/>
        </w:rPr>
        <w:t xml:space="preserve">, Jun. 2015</w:t>
      </w:r>
      <w:r>
        <w:rPr>
          <w:i w:val="false"/>
          <w:iCs w:val="false"/>
        </w:rPr>
        <w:t xml:space="preserve">, pp. 1–9</w:t>
      </w:r>
      <w:r>
        <w:rPr>
          <w:i w:val="false"/>
          <w:iCs w:val="false"/>
        </w:rPr>
        <w:t xml:space="preserve">, doi: 10.1109/CVPR.2015.7298594.</w:t>
      </w:r>
    </w:p>
    <w:p>
      <w:pPr>
        <w:tabs>
          <w:tab w:val="left" w:pos="720"/>
        </w:tabs>
        <w:spacing w:after="180" w:line="360"/>
        <w:ind w:left="720" w:hanging="720"/>
      </w:pPr>
      <w:r>
        <w:rPr>
          <w:i w:val="false"/>
          <w:iCs w:val="false"/>
        </w:rPr>
        <w:t xml:space="preserve">[6]	S. Rao, R. Tron, R. Vidal, and Y. Ma, </w:t>
      </w:r>
      <w:r>
        <w:rPr>
          <w:i w:val="false"/>
          <w:iCs w:val="false"/>
        </w:rPr>
        <w:t xml:space="preserve">"Motion Segmentation in the Presence of Outlying, Incomplete, or Corrupted Trajectories," </w:t>
      </w:r>
      <w:r>
        <w:rPr>
          <w:i/>
          <w:iCs/>
        </w:rPr>
        <w:t xml:space="preserve">IEEE Trans. Pattern Anal. Mach. Intell.</w:t>
      </w:r>
      <w:r>
        <w:rPr>
          <w:i w:val="false"/>
          <w:iCs w:val="false"/>
        </w:rPr>
        <w:t xml:space="preserve">, vol. 32</w:t>
      </w:r>
      <w:r>
        <w:rPr>
          <w:i w:val="false"/>
          <w:iCs w:val="false"/>
        </w:rPr>
        <w:t xml:space="preserve">, no. 10</w:t>
      </w:r>
      <w:r>
        <w:rPr>
          <w:i w:val="false"/>
          <w:iCs w:val="false"/>
        </w:rPr>
        <w:t xml:space="preserve">, pp. 1832–1845</w:t>
      </w:r>
      <w:r>
        <w:rPr>
          <w:i w:val="false"/>
          <w:iCs w:val="false"/>
        </w:rPr>
        <w:t xml:space="preserve">, Oct.</w:t>
      </w:r>
      <w:r>
        <w:rPr>
          <w:i w:val="false"/>
          <w:iCs w:val="false"/>
        </w:rPr>
        <w:t xml:space="preserve"> 2010</w:t>
      </w:r>
      <w:r>
        <w:rPr>
          <w:i w:val="false"/>
          <w:iCs w:val="false"/>
        </w:rPr>
        <w:t xml:space="preserve">, doi: 10.1109/TPAMI.2009.191.</w:t>
      </w:r>
    </w:p>
    <w:p>
      <w:pPr>
        <w:tabs>
          <w:tab w:val="left" w:pos="720"/>
        </w:tabs>
        <w:spacing w:after="180" w:line="360"/>
        <w:ind w:left="720" w:hanging="720"/>
      </w:pPr>
      <w:r>
        <w:rPr>
          <w:i w:val="false"/>
          <w:iCs w:val="false"/>
        </w:rPr>
        <w:t xml:space="preserve">[7]	T. Chen and C. Guestrin, </w:t>
      </w:r>
      <w:r>
        <w:rPr>
          <w:i w:val="false"/>
          <w:iCs w:val="false"/>
        </w:rPr>
        <w:t xml:space="preserve">"XGBoost: A scalable tree boosting system," in </w:t>
      </w:r>
      <w:r>
        <w:rPr>
          <w:i/>
          <w:iCs/>
        </w:rPr>
        <w:t xml:space="preserve">Proc. 22nd ACM SIGKDD Int. Conf. Knowl. Discovery Data Mining</w:t>
      </w:r>
      <w:r>
        <w:rPr>
          <w:i w:val="false"/>
          <w:iCs w:val="false"/>
        </w:rPr>
        <w:t xml:space="preserve">, San Francisco, CA, USA</w:t>
      </w:r>
      <w:r>
        <w:rPr>
          <w:i w:val="false"/>
          <w:iCs w:val="false"/>
        </w:rPr>
        <w:t xml:space="preserve">, Aug. 2016</w:t>
      </w:r>
      <w:r>
        <w:rPr>
          <w:i w:val="false"/>
          <w:iCs w:val="false"/>
        </w:rPr>
        <w:t xml:space="preserve">, pp. 785–794</w:t>
      </w:r>
      <w:r>
        <w:rPr>
          <w:i w:val="false"/>
          <w:iCs w:val="false"/>
        </w:rPr>
        <w:t xml:space="preserve">, doi: 10.1145/2939672.2939785.</w:t>
      </w:r>
    </w:p>
    <w:p>
      <w:pPr>
        <w:tabs>
          <w:tab w:val="left" w:pos="720"/>
        </w:tabs>
        <w:spacing w:after="180" w:line="360"/>
        <w:ind w:left="720" w:hanging="720"/>
      </w:pPr>
      <w:r>
        <w:rPr>
          <w:i w:val="false"/>
          <w:iCs w:val="false"/>
        </w:rPr>
        <w:t xml:space="preserve">[8]	S. Hochreiter and J. Schmidhuber, </w:t>
      </w:r>
      <w:r>
        <w:rPr>
          <w:i w:val="false"/>
          <w:iCs w:val="false"/>
        </w:rPr>
        <w:t xml:space="preserve">"Long Short-Term Memory," </w:t>
      </w:r>
      <w:r>
        <w:rPr>
          <w:i/>
          <w:iCs/>
        </w:rPr>
        <w:t xml:space="preserve">Neural Computation</w:t>
      </w:r>
      <w:r>
        <w:rPr>
          <w:i w:val="false"/>
          <w:iCs w:val="false"/>
        </w:rPr>
        <w:t xml:space="preserve">, vol. 9</w:t>
      </w:r>
      <w:r>
        <w:rPr>
          <w:i w:val="false"/>
          <w:iCs w:val="false"/>
        </w:rPr>
        <w:t xml:space="preserve">, no. 8</w:t>
      </w:r>
      <w:r>
        <w:rPr>
          <w:i w:val="false"/>
          <w:iCs w:val="false"/>
        </w:rPr>
        <w:t xml:space="preserve">, pp. 1735–1780</w:t>
      </w:r>
      <w:r>
        <w:rPr>
          <w:i w:val="false"/>
          <w:iCs w:val="false"/>
        </w:rPr>
        <w:t xml:space="preserve">, Nov.</w:t>
      </w:r>
      <w:r>
        <w:rPr>
          <w:i w:val="false"/>
          <w:iCs w:val="false"/>
        </w:rPr>
        <w:t xml:space="preserve"> 1997</w:t>
      </w:r>
      <w:r>
        <w:rPr>
          <w:i w:val="false"/>
          <w:iCs w:val="false"/>
        </w:rPr>
        <w:t xml:space="preserve">, doi: 10.1162/neco.1997.9.8.1735.</w:t>
      </w:r>
    </w:p>
    <w:p>
      <w:pPr>
        <w:tabs>
          <w:tab w:val="left" w:pos="720"/>
        </w:tabs>
        <w:spacing w:after="180" w:line="360"/>
        <w:ind w:left="720" w:hanging="720"/>
      </w:pPr>
      <w:r>
        <w:rPr>
          <w:i w:val="false"/>
          <w:iCs w:val="false"/>
        </w:rPr>
        <w:t xml:space="preserve">[9]	D. Silver, et al., </w:t>
      </w:r>
      <w:r>
        <w:rPr>
          <w:i w:val="false"/>
          <w:iCs w:val="false"/>
        </w:rPr>
        <w:t xml:space="preserve">"Mastering the game of Go with deep neural networks and tree search," </w:t>
      </w:r>
      <w:r>
        <w:rPr>
          <w:i/>
          <w:iCs/>
        </w:rPr>
        <w:t xml:space="preserve">Nature</w:t>
      </w:r>
      <w:r>
        <w:rPr>
          <w:i w:val="false"/>
          <w:iCs w:val="false"/>
        </w:rPr>
        <w:t xml:space="preserve">, vol. 529</w:t>
      </w:r>
      <w:r>
        <w:rPr>
          <w:i w:val="false"/>
          <w:iCs w:val="false"/>
        </w:rPr>
        <w:t xml:space="preserve">, no. 7587</w:t>
      </w:r>
      <w:r>
        <w:rPr>
          <w:i w:val="false"/>
          <w:iCs w:val="false"/>
        </w:rPr>
        <w:t xml:space="preserve">, pp. 484–489</w:t>
      </w:r>
      <w:r>
        <w:rPr>
          <w:i w:val="false"/>
          <w:iCs w:val="false"/>
        </w:rPr>
        <w:t xml:space="preserve">, Jan.</w:t>
      </w:r>
      <w:r>
        <w:rPr>
          <w:i w:val="false"/>
          <w:iCs w:val="false"/>
        </w:rPr>
        <w:t xml:space="preserve"> 2016</w:t>
      </w:r>
      <w:r>
        <w:rPr>
          <w:i w:val="false"/>
          <w:iCs w:val="false"/>
        </w:rPr>
        <w:t xml:space="preserve">, doi: 10.1038/nature16961.</w:t>
      </w:r>
    </w:p>
    <w:p>
      <w:pPr>
        <w:tabs>
          <w:tab w:val="left" w:pos="720"/>
        </w:tabs>
        <w:spacing w:after="180" w:line="360"/>
        <w:ind w:left="720" w:hanging="720"/>
      </w:pPr>
      <w:r>
        <w:rPr>
          <w:i w:val="false"/>
          <w:iCs w:val="false"/>
        </w:rPr>
        <w:t xml:space="preserve">[10]	M. Jawaid, E. Elms, Y. Latif, and T. J. Chin, </w:t>
      </w:r>
      <w:r>
        <w:rPr>
          <w:i w:val="false"/>
          <w:iCs w:val="false"/>
        </w:rPr>
        <w:t xml:space="preserve">"Towards Bridging the Space Domain Gap for Satellite Pose Estimation using Event Sensing," in </w:t>
      </w:r>
      <w:r>
        <w:rPr>
          <w:i/>
          <w:iCs/>
        </w:rPr>
        <w:t xml:space="preserve">Proc. IEEE Int. Conf. Robot. Autom. (ICRA)</w:t>
      </w:r>
      <w:r>
        <w:rPr>
          <w:i w:val="false"/>
          <w:iCs w:val="false"/>
        </w:rPr>
        <w:t xml:space="preserve">, London, U.K.</w:t>
      </w:r>
      <w:r>
        <w:rPr>
          <w:i w:val="false"/>
          <w:iCs w:val="false"/>
        </w:rPr>
        <w:t xml:space="preserve">, May 2023</w:t>
      </w:r>
      <w:r>
        <w:rPr>
          <w:i w:val="false"/>
          <w:iCs w:val="false"/>
        </w:rPr>
        <w:t xml:space="preserve">, pp. 11866–11873</w:t>
      </w:r>
      <w:r>
        <w:rPr>
          <w:i w:val="false"/>
          <w:iCs w:val="false"/>
        </w:rPr>
        <w:t xml:space="preserve">, doi: 10.1109/ICRA48891.2023.10160531.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2026-10-02T02:53:15.729Z</dcterms:created>
  <dcterms:modified xsi:type="dcterms:W3CDTF">2026-10-02T02:53:15.729Z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